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eastAsia="Microsoft YaHei"/>
          <w:b/>
          <w:i w:val="0"/>
          <w:color w:val="143D29"/>
          <w:sz w:val="34"/>
        </w:rPr>
        <w:t>律师委托函 / 法律服务委托合同</w:t>
      </w:r>
    </w:p>
    <w:p>
      <w:pPr>
        <w:spacing w:after="160"/>
      </w:pPr>
      <w:r>
        <w:rPr>
          <w:rFonts w:ascii="Arial" w:hAnsi="Arial" w:eastAsia="Microsoft YaHei"/>
          <w:b/>
          <w:i w:val="0"/>
          <w:color w:val="9A5B12"/>
          <w:sz w:val="19"/>
        </w:rPr>
        <w:t>LEGAL ENGAGEMENT LETTER</w:t>
      </w:r>
    </w:p>
    <w:p>
      <w:pPr>
        <w:spacing w:after="200"/>
      </w:pPr>
      <w:r>
        <w:rPr>
          <w:rFonts w:ascii="Arial" w:hAnsi="Arial" w:eastAsia="Microsoft YaHei"/>
          <w:b w:val="0"/>
          <w:i/>
          <w:color w:val="555F66"/>
          <w:sz w:val="17"/>
        </w:rPr>
        <w:t>由律所出具给客户。赞比亚律师通常有自己的模板；本模板用于核对服务范围、费用、授权和保密条款。</w:t>
      </w:r>
    </w:p>
    <w:p>
      <w:pPr>
        <w:spacing w:before="0" w:after="100"/>
      </w:pPr>
      <w:r>
        <w:rPr>
          <w:rFonts w:ascii="Arial" w:hAnsi="Arial" w:eastAsia="Microsoft YaHei"/>
          <w:b w:val="0"/>
          <w:i w:val="0"/>
          <w:color w:val="1A1A1A"/>
          <w:sz w:val="20"/>
        </w:rPr>
        <w:t>Date: [DD Month YYYY]</w:t>
      </w:r>
    </w:p>
    <w:p>
      <w:pPr>
        <w:spacing w:before="0" w:after="100"/>
      </w:pPr>
      <w:r>
        <w:rPr>
          <w:rFonts w:ascii="Arial" w:hAnsi="Arial" w:eastAsia="Microsoft YaHei"/>
          <w:b w:val="0"/>
          <w:i w:val="0"/>
          <w:color w:val="1A1A1A"/>
          <w:sz w:val="20"/>
        </w:rPr>
        <w:t>To: [Client name / company], [address]</w:t>
      </w:r>
    </w:p>
    <w:p>
      <w:pPr>
        <w:spacing w:before="0" w:after="160"/>
      </w:pPr>
      <w:r>
        <w:rPr>
          <w:rFonts w:ascii="Arial" w:hAnsi="Arial" w:eastAsia="Microsoft YaHei"/>
          <w:b/>
          <w:i w:val="0"/>
          <w:color w:val="1A1A1A"/>
          <w:sz w:val="20"/>
        </w:rPr>
        <w:t>RE: Engagement for [matter]</w:t>
      </w:r>
    </w:p>
    <w:p>
      <w:pPr>
        <w:keepNext/>
        <w:spacing w:before="80" w:after="80"/>
        <w:pBdr>
          <w:bottom w:val="single" w:sz="6" w:space="2" w:color="D8E2DA"/>
        </w:pBdr>
      </w:pPr>
      <w:r>
        <w:rPr>
          <w:rFonts w:ascii="Arial" w:hAnsi="Arial" w:eastAsia="Microsoft YaHei"/>
          <w:b/>
          <w:i w:val="0"/>
          <w:color w:val="143D29"/>
          <w:sz w:val="23"/>
        </w:rPr>
        <w:t>1. Parties 双方</w:t>
      </w:r>
    </w:p>
    <w:tbl>
      <w:tblPr>
        <w:tblStyle w:val="TableGrid"/>
        <w:tblW w:w="9694" w:type="dxa"/>
        <w:jc w:val="center"/>
        <w:tblLayout w:type="fixed"/>
        <w:tblLook w:firstColumn="1" w:firstRow="1" w:lastColumn="0" w:lastRow="0" w:noHBand="0" w:noVBand="1" w:val="04A0"/>
      </w:tblPr>
      <w:tblGrid>
        <w:gridCol w:w="2381"/>
        <w:gridCol w:w="7313"/>
      </w:tblGrid>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Law firm 律所</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[Name], practising certificate no. [ ], address [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Lawyer 承办律师</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[Name], position [ ], email [ ], phone [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Client 客户</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[Name / company], ID/PACRA No. [ ], address [ ]</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Matter 事项</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[contract / dispute / employment / land / tax / immigration / other]</w:t>
            </w:r>
          </w:p>
        </w:tc>
      </w:tr>
    </w:tbl>
    <w:p>
      <w:pPr>
        <w:keepNext/>
        <w:spacing w:before="200" w:after="80"/>
        <w:pBdr>
          <w:bottom w:val="single" w:sz="6" w:space="2" w:color="D8E2DA"/>
        </w:pBdr>
      </w:pPr>
      <w:r>
        <w:rPr>
          <w:rFonts w:ascii="Arial" w:hAnsi="Arial" w:eastAsia="Microsoft YaHei"/>
          <w:b/>
          <w:i w:val="0"/>
          <w:color w:val="143D29"/>
          <w:sz w:val="23"/>
        </w:rPr>
        <w:t>2. Scope of work 服务范围</w:t>
      </w:r>
    </w:p>
    <w:p>
      <w:pPr>
        <w:spacing w:before="0" w:after="100"/>
      </w:pPr>
      <w:r>
        <w:rPr>
          <w:rFonts w:ascii="Arial" w:hAnsi="Arial" w:eastAsia="Microsoft YaHei"/>
          <w:b w:val="0"/>
          <w:i w:val="0"/>
          <w:color w:val="1A1A1A"/>
          <w:sz w:val="20"/>
        </w:rPr>
        <w:t xml:space="preserve">The Firm will advise on </w:t>
      </w:r>
      <w:r>
        <w:rPr>
          <w:rFonts w:ascii="Arial" w:hAnsi="Arial" w:eastAsia="Microsoft YaHei"/>
          <w:b/>
          <w:i w:val="0"/>
          <w:color w:val="1A1A1A"/>
          <w:sz w:val="20"/>
        </w:rPr>
        <w:t>[matter]</w:t>
      </w:r>
      <w:r>
        <w:rPr>
          <w:rFonts w:ascii="Arial" w:hAnsi="Arial" w:eastAsia="Microsoft YaHei"/>
          <w:b w:val="0"/>
          <w:i w:val="0"/>
          <w:color w:val="1A1A1A"/>
          <w:sz w:val="20"/>
        </w:rPr>
        <w:t xml:space="preserve"> and will: [review documents / draft contract / negotiate / issue letter / represent in court / register transaction]. The scope includes the specific tasks listed in Schedule A. Any additional work requires a separate written instruction and may attract additional fees.</w:t>
      </w:r>
    </w:p>
    <w:p>
      <w:pPr>
        <w:spacing w:before="0" w:after="120"/>
      </w:pPr>
      <w:r>
        <w:rPr>
          <w:rFonts w:ascii="Arial" w:hAnsi="Arial" w:eastAsia="Microsoft YaHei"/>
          <w:b w:val="0"/>
          <w:i/>
          <w:color w:val="555F66"/>
          <w:sz w:val="17"/>
        </w:rPr>
        <w:t>把“做什么、不做什么”写清；诉讼、上诉、执行、额外谈判是否包含，逐项列明。</w:t>
      </w:r>
    </w:p>
    <w:p>
      <w:pPr>
        <w:keepNext/>
        <w:spacing w:before="200" w:after="80"/>
        <w:pBdr>
          <w:bottom w:val="single" w:sz="6" w:space="2" w:color="D8E2DA"/>
        </w:pBdr>
      </w:pPr>
      <w:r>
        <w:rPr>
          <w:rFonts w:ascii="Arial" w:hAnsi="Arial" w:eastAsia="Microsoft YaHei"/>
          <w:b/>
          <w:i w:val="0"/>
          <w:color w:val="143D29"/>
          <w:sz w:val="23"/>
        </w:rPr>
        <w:t>3. Excluded matters 不包括的事项</w:t>
      </w:r>
    </w:p>
    <w:p>
      <w:pPr>
        <w:spacing w:before="0" w:after="100"/>
      </w:pPr>
      <w:r>
        <w:rPr>
          <w:rFonts w:ascii="Arial" w:hAnsi="Arial" w:eastAsia="Microsoft YaHei"/>
          <w:b w:val="0"/>
          <w:i w:val="0"/>
          <w:color w:val="1A1A1A"/>
          <w:sz w:val="20"/>
        </w:rPr>
        <w:t>This engagement does not include: [tax advice / accounting / immigration application / criminal defence / appeal / enforcement / other jurisdictions]. The Firm may refer the Client to another professional where appropriate.</w:t>
      </w:r>
    </w:p>
    <w:p>
      <w:pPr>
        <w:keepNext/>
        <w:spacing w:before="200" w:after="80"/>
        <w:pBdr>
          <w:bottom w:val="single" w:sz="6" w:space="2" w:color="D8E2DA"/>
        </w:pBdr>
      </w:pPr>
      <w:r>
        <w:rPr>
          <w:rFonts w:ascii="Arial" w:hAnsi="Arial" w:eastAsia="Microsoft YaHei"/>
          <w:b/>
          <w:i w:val="0"/>
          <w:color w:val="143D29"/>
          <w:sz w:val="23"/>
        </w:rPr>
        <w:t>4. Fees and disbursements 费用</w:t>
      </w:r>
    </w:p>
    <w:tbl>
      <w:tblPr>
        <w:tblStyle w:val="TableGrid"/>
        <w:tblW w:w="9694" w:type="dxa"/>
        <w:jc w:val="center"/>
        <w:tblLayout w:type="fixed"/>
        <w:tblLook w:firstColumn="1" w:firstRow="1" w:lastColumn="0" w:lastRow="0" w:noHBand="0" w:noVBand="1" w:val="04A0"/>
      </w:tblPr>
      <w:tblGrid>
        <w:gridCol w:w="2381"/>
        <w:gridCol w:w="7313"/>
      </w:tblGrid>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Fee basis 收费方式</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hourly ☐ fixed fee ☐ stage fee ☐ retainer ☐ success fee (if permitted)</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Hourly rate 小时费率</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ZMW [ ] per hour (partner / associate / paralegal)</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Fixed / stage fee 固定/阶段费</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ZMW [ ] for [stage]</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Retainer 预付款</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ZMW [ ], replenishable</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Disbursements 代垫费用</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Court fees, translations, travel, registration, expert fees — at cost</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VAT / taxes</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As applicable</w:t>
            </w:r>
          </w:p>
        </w:tc>
      </w:tr>
      <w:tr>
        <w:tc>
          <w:tcPr>
            <w:tcW w:type="dxa" w:w="2381"/>
            <w:tcMar>
              <w:top w:w="80" w:type="dxa"/>
              <w:bottom w:w="80" w:type="dxa"/>
              <w:start w:w="110" w:type="dxa"/>
              <w:end w:w="110" w:type="dxa"/>
            </w:tcMar>
            <w:shd w:val="clear" w:color="auto" w:fill="F2F6F3"/>
          </w:tcPr>
          <w:p>
            <w:pPr>
              <w:spacing w:after="0"/>
            </w:pPr>
            <w:r>
              <w:rPr>
                <w:rFonts w:ascii="Arial" w:hAnsi="Arial" w:eastAsia="Microsoft YaHei"/>
                <w:b/>
                <w:i w:val="0"/>
                <w:color w:val="1A1A1A"/>
                <w:sz w:val="18"/>
              </w:rPr>
              <w:t>Payment terms 付款期限</w:t>
            </w:r>
          </w:p>
        </w:tc>
        <w:tc>
          <w:tcPr>
            <w:tcW w:type="dxa" w:w="7313"/>
            <w:tcMar>
              <w:top w:w="80" w:type="dxa"/>
              <w:bottom w:w="80" w:type="dxa"/>
              <w:start w:w="110" w:type="dxa"/>
              <w:end w:w="110" w:type="dxa"/>
            </w:tcMar>
          </w:tcPr>
          <w:p>
            <w:pPr>
              <w:spacing w:after="0"/>
            </w:pPr>
            <w:r>
              <w:rPr>
                <w:rFonts w:ascii="Arial" w:hAnsi="Arial" w:eastAsia="Microsoft YaHei"/>
                <w:b w:val="0"/>
                <w:i w:val="0"/>
                <w:color w:val="1A1A1A"/>
                <w:sz w:val="18"/>
              </w:rPr>
              <w:t>[ ] days from invoice</w:t>
            </w:r>
          </w:p>
        </w:tc>
      </w:tr>
    </w:tbl>
    <w:p>
      <w:pPr>
        <w:spacing w:before="0" w:after="120"/>
      </w:pPr>
      <w:r>
        <w:rPr>
          <w:rFonts w:ascii="Arial" w:hAnsi="Arial" w:eastAsia="Microsoft YaHei"/>
          <w:b w:val="0"/>
          <w:i/>
          <w:color w:val="555F66"/>
          <w:sz w:val="17"/>
        </w:rPr>
        <w:t>费用结构、预付款、代垫费用、VAT、付款期限写清；风险代理是否允许，按赞比亚律师执业规则确认。</w:t>
      </w:r>
    </w:p>
    <w:p>
      <w:pPr>
        <w:keepNext/>
        <w:spacing w:before="200" w:after="80"/>
        <w:pBdr>
          <w:bottom w:val="single" w:sz="6" w:space="2" w:color="D8E2DA"/>
        </w:pBdr>
      </w:pPr>
      <w:r>
        <w:rPr>
          <w:rFonts w:ascii="Arial" w:hAnsi="Arial" w:eastAsia="Microsoft YaHei"/>
          <w:b/>
          <w:i w:val="0"/>
          <w:color w:val="143D29"/>
          <w:sz w:val="23"/>
        </w:rPr>
        <w:t>5. Client account and billing 客户账户与账单</w:t>
      </w:r>
    </w:p>
    <w:p>
      <w:pPr>
        <w:spacing w:before="0" w:after="100"/>
      </w:pPr>
      <w:r>
        <w:rPr>
          <w:rFonts w:ascii="Arial" w:hAnsi="Arial" w:eastAsia="Microsoft YaHei"/>
          <w:b w:val="0"/>
          <w:i w:val="0"/>
          <w:color w:val="1A1A1A"/>
          <w:sz w:val="20"/>
        </w:rPr>
        <w:t>Client funds will be held in the Firm's client account and applied against invoices or disbursements. The Firm will issue invoices [monthly / at stages] with a breakdown of time and expenses. Interest on overdue invoices may be charged at [ ]% per month, where permitted.</w:t>
      </w:r>
    </w:p>
    <w:p>
      <w:pPr>
        <w:spacing w:before="0" w:after="120"/>
      </w:pPr>
      <w:r>
        <w:rPr>
          <w:rFonts w:ascii="Arial" w:hAnsi="Arial" w:eastAsia="Microsoft YaHei"/>
          <w:b w:val="0"/>
          <w:i/>
          <w:color w:val="555F66"/>
          <w:sz w:val="17"/>
        </w:rPr>
        <w:t>客户资金进入律所客户账户，不混同律所自有账户；账单要列时间/费用明细。</w:t>
      </w:r>
    </w:p>
    <w:p>
      <w:pPr>
        <w:keepNext/>
        <w:spacing w:before="200" w:after="80"/>
        <w:pBdr>
          <w:bottom w:val="single" w:sz="6" w:space="2" w:color="D8E2DA"/>
        </w:pBdr>
      </w:pPr>
      <w:r>
        <w:rPr>
          <w:rFonts w:ascii="Arial" w:hAnsi="Arial" w:eastAsia="Microsoft YaHei"/>
          <w:b/>
          <w:i w:val="0"/>
          <w:color w:val="143D29"/>
          <w:sz w:val="23"/>
        </w:rPr>
        <w:t>6. Client instructions and authority 客户指示与授权</w:t>
      </w:r>
    </w:p>
    <w:p>
      <w:pPr>
        <w:spacing w:before="0" w:after="100"/>
      </w:pPr>
      <w:r>
        <w:rPr>
          <w:rFonts w:ascii="Arial" w:hAnsi="Arial" w:eastAsia="Microsoft YaHei"/>
          <w:b w:val="0"/>
          <w:i w:val="0"/>
          <w:color w:val="1A1A1A"/>
          <w:sz w:val="20"/>
        </w:rPr>
        <w:t>The Client shall provide instructions in writing where practicable. The Firm may act on oral instructions in urgent matters and confirm them in writing afterwards. The Client authorises the Firm to: [file documents / negotiate / settle up to ZMW [ ] / attend hearings]. Any settlement above that amount requires written approval.</w:t>
      </w:r>
    </w:p>
    <w:p>
      <w:pPr>
        <w:spacing w:before="0" w:after="120"/>
      </w:pPr>
      <w:r>
        <w:rPr>
          <w:rFonts w:ascii="Arial" w:hAnsi="Arial" w:eastAsia="Microsoft YaHei"/>
          <w:b w:val="0"/>
          <w:i/>
          <w:color w:val="555F66"/>
          <w:sz w:val="17"/>
        </w:rPr>
        <w:t>授权边界写清：能不能和解、最高金额、能不能签文件、能不能上诉；避免律师“超授权”。</w:t>
      </w:r>
    </w:p>
    <w:p>
      <w:pPr>
        <w:keepNext/>
        <w:spacing w:before="200" w:after="80"/>
        <w:pBdr>
          <w:bottom w:val="single" w:sz="6" w:space="2" w:color="D8E2DA"/>
        </w:pBdr>
      </w:pPr>
      <w:r>
        <w:rPr>
          <w:rFonts w:ascii="Arial" w:hAnsi="Arial" w:eastAsia="Microsoft YaHei"/>
          <w:b/>
          <w:i w:val="0"/>
          <w:color w:val="143D29"/>
          <w:sz w:val="23"/>
        </w:rPr>
        <w:t>7. Conflicts, confidentiality and data 利益冲突、保密与数据</w:t>
      </w:r>
    </w:p>
    <w:p>
      <w:pPr>
        <w:spacing w:before="0" w:after="100"/>
      </w:pPr>
      <w:r>
        <w:rPr>
          <w:rFonts w:ascii="Arial" w:hAnsi="Arial" w:eastAsia="Microsoft YaHei"/>
          <w:b w:val="0"/>
          <w:i w:val="0"/>
          <w:color w:val="1A1A1A"/>
          <w:sz w:val="20"/>
        </w:rPr>
        <w:t>The Firm has checked for conflicts and confirms none known. The Firm will keep client information confidential except as required by law or authorised by the Client. Personal data will be processed in accordance with the Data Protection Act No. 3 of 2021 and the Firm's privacy policy.</w:t>
      </w:r>
    </w:p>
    <w:p>
      <w:pPr>
        <w:spacing w:before="0" w:after="120"/>
      </w:pPr>
      <w:r>
        <w:rPr>
          <w:rFonts w:ascii="Arial" w:hAnsi="Arial" w:eastAsia="Microsoft YaHei"/>
          <w:b w:val="0"/>
          <w:i/>
          <w:color w:val="555F66"/>
          <w:sz w:val="17"/>
        </w:rPr>
        <w:t>利益冲突检查、保密、数据保护（DPA 2021）要写；客户资料跨境传输要单独确认。</w:t>
      </w:r>
    </w:p>
    <w:p>
      <w:pPr>
        <w:keepNext/>
        <w:spacing w:before="200" w:after="80"/>
        <w:pBdr>
          <w:bottom w:val="single" w:sz="6" w:space="2" w:color="D8E2DA"/>
        </w:pBdr>
      </w:pPr>
      <w:r>
        <w:rPr>
          <w:rFonts w:ascii="Arial" w:hAnsi="Arial" w:eastAsia="Microsoft YaHei"/>
          <w:b/>
          <w:i w:val="0"/>
          <w:color w:val="143D29"/>
          <w:sz w:val="23"/>
        </w:rPr>
        <w:t>8. File retention 文件保存</w:t>
      </w:r>
    </w:p>
    <w:p>
      <w:pPr>
        <w:spacing w:before="0" w:after="100"/>
      </w:pPr>
      <w:r>
        <w:rPr>
          <w:rFonts w:ascii="Arial" w:hAnsi="Arial" w:eastAsia="Microsoft YaHei"/>
          <w:b w:val="0"/>
          <w:i w:val="0"/>
          <w:color w:val="1A1A1A"/>
          <w:sz w:val="20"/>
        </w:rPr>
        <w:t>The Firm will retain the file for [7] years after closing, unless a longer period is required by law or agreed for a specific matter. The Client may request copies on reasonable notice.</w:t>
      </w:r>
    </w:p>
    <w:p>
      <w:pPr>
        <w:keepNext/>
        <w:spacing w:before="200" w:after="80"/>
        <w:pBdr>
          <w:bottom w:val="single" w:sz="6" w:space="2" w:color="D8E2DA"/>
        </w:pBdr>
      </w:pPr>
      <w:r>
        <w:rPr>
          <w:rFonts w:ascii="Arial" w:hAnsi="Arial" w:eastAsia="Microsoft YaHei"/>
          <w:b/>
          <w:i w:val="0"/>
          <w:color w:val="143D29"/>
          <w:sz w:val="23"/>
        </w:rPr>
        <w:t>9. Termination 终止</w:t>
      </w:r>
    </w:p>
    <w:p>
      <w:pPr>
        <w:spacing w:before="0" w:after="100"/>
      </w:pPr>
      <w:r>
        <w:rPr>
          <w:rFonts w:ascii="Arial" w:hAnsi="Arial" w:eastAsia="Microsoft YaHei"/>
          <w:b w:val="0"/>
          <w:i w:val="0"/>
          <w:color w:val="1A1A1A"/>
          <w:sz w:val="20"/>
        </w:rPr>
        <w:t>Either party may terminate this engagement by written notice. The Client remains liable for fees and disbursements incurred up to termination. The Firm may apply to court to be released from a matter where there is a proper reason; it will cooperate with a successor lawyer.</w:t>
      </w:r>
    </w:p>
    <w:p>
      <w:pPr>
        <w:keepNext/>
        <w:spacing w:before="200" w:after="80"/>
        <w:pBdr>
          <w:bottom w:val="single" w:sz="6" w:space="2" w:color="D8E2DA"/>
        </w:pBdr>
      </w:pPr>
      <w:r>
        <w:rPr>
          <w:rFonts w:ascii="Arial" w:hAnsi="Arial" w:eastAsia="Microsoft YaHei"/>
          <w:b/>
          <w:i w:val="0"/>
          <w:color w:val="143D29"/>
          <w:sz w:val="23"/>
        </w:rPr>
        <w:t>10. No guarantee of outcome 不承诺结果</w:t>
      </w:r>
    </w:p>
    <w:p>
      <w:pPr>
        <w:spacing w:before="0" w:after="100"/>
      </w:pPr>
      <w:r>
        <w:rPr>
          <w:rFonts w:ascii="Arial" w:hAnsi="Arial" w:eastAsia="Microsoft YaHei"/>
          <w:b w:val="0"/>
          <w:i w:val="0"/>
          <w:color w:val="1A1A1A"/>
          <w:sz w:val="20"/>
        </w:rPr>
        <w:t>The Firm will use reasonable skill and care but does not guarantee any particular outcome. Any estimate of time or prospects is an opinion, not a promise.</w:t>
      </w:r>
    </w:p>
    <w:p>
      <w:pPr>
        <w:keepNext/>
        <w:spacing w:before="200" w:after="80"/>
        <w:pBdr>
          <w:bottom w:val="single" w:sz="6" w:space="2" w:color="D8E2DA"/>
        </w:pBdr>
      </w:pPr>
      <w:r>
        <w:rPr>
          <w:rFonts w:ascii="Arial" w:hAnsi="Arial" w:eastAsia="Microsoft YaHei"/>
          <w:b/>
          <w:i w:val="0"/>
          <w:color w:val="143D29"/>
          <w:sz w:val="23"/>
        </w:rPr>
        <w:t>11. Governing law 适用法律</w:t>
      </w:r>
    </w:p>
    <w:p>
      <w:pPr>
        <w:spacing w:before="0" w:after="100"/>
      </w:pPr>
      <w:r>
        <w:rPr>
          <w:rFonts w:ascii="Arial" w:hAnsi="Arial" w:eastAsia="Microsoft YaHei"/>
          <w:b w:val="0"/>
          <w:i w:val="0"/>
          <w:color w:val="1A1A1A"/>
          <w:sz w:val="20"/>
        </w:rPr>
        <w:t>This engagement is governed by the laws of Zambia. Disputes shall first be discussed in good faith and, if unresolved, may be referred to the Law Association of Zambia or the competent court, as applicable.</w:t>
      </w:r>
    </w:p>
    <w:p>
      <w:pPr>
        <w:keepNext/>
        <w:spacing w:before="200" w:after="80"/>
        <w:pBdr>
          <w:bottom w:val="single" w:sz="6" w:space="2" w:color="D8E2DA"/>
        </w:pBdr>
      </w:pPr>
      <w:r>
        <w:rPr>
          <w:rFonts w:ascii="Arial" w:hAnsi="Arial" w:eastAsia="Microsoft YaHei"/>
          <w:b/>
          <w:i w:val="0"/>
          <w:color w:val="143D29"/>
          <w:sz w:val="23"/>
        </w:rPr>
        <w:t>12. Acceptance 接受委托</w:t>
      </w:r>
    </w:p>
    <w:p>
      <w:pPr>
        <w:spacing w:before="0" w:after="100"/>
      </w:pPr>
      <w:r>
        <w:rPr>
          <w:rFonts w:ascii="Arial" w:hAnsi="Arial" w:eastAsia="Microsoft YaHei"/>
          <w:b w:val="0"/>
          <w:i w:val="0"/>
          <w:color w:val="1A1A1A"/>
          <w:sz w:val="20"/>
        </w:rPr>
        <w:t>Please sign and return a copy of this letter to confirm your instructions and acceptance of these terms.</w:t>
      </w:r>
    </w:p>
    <w:p>
      <w:pPr>
        <w:spacing w:before="280"/>
      </w:pPr>
    </w:p>
    <w:tbl>
      <w:tblPr>
        <w:tblW w:w="9637" w:type="dxa"/>
        <w:tblLayout w:type="fixed"/>
        <w:tblLook w:firstColumn="1" w:firstRow="1" w:lastColumn="0" w:lastRow="0" w:noHBand="0" w:noVBand="1" w:val="04A0"/>
      </w:tblPr>
      <w:tblGrid>
        <w:gridCol w:w="4819"/>
        <w:gridCol w:w="4819"/>
      </w:tblGrid>
      <w:tr>
        <w:tc>
          <w:tcPr>
            <w:tcW w:type="dxa" w:w="4819"/>
          </w:tcPr>
          <w:p>
            <w:pPr>
              <w:spacing w:after="200"/>
            </w:pPr>
            <w:r/>
            <w:r>
              <w:rPr>
                <w:rFonts w:ascii="Arial" w:hAnsi="Arial" w:eastAsia="Microsoft YaHei"/>
                <w:b w:val="0"/>
                <w:i w:val="0"/>
                <w:color w:val="1A1A1A"/>
                <w:sz w:val="19"/>
              </w:rPr>
              <w:t>For the Firm 律所</w:t>
            </w:r>
          </w:p>
          <w:p>
            <w:pPr>
              <w:spacing w:after="200"/>
            </w:pPr>
            <w:r>
              <w:rPr>
                <w:rFonts w:ascii="Arial" w:hAnsi="Arial" w:eastAsia="Microsoft YaHei"/>
                <w:b w:val="0"/>
                <w:i w:val="0"/>
                <w:color w:val="1A1A1A"/>
                <w:sz w:val="19"/>
              </w:rPr>
              <w:t>______________________________</w:t>
            </w:r>
          </w:p>
          <w:p>
            <w:pPr>
              <w:spacing w:after="200"/>
            </w:pPr>
            <w:r>
              <w:rPr>
                <w:rFonts w:ascii="Arial" w:hAnsi="Arial" w:eastAsia="Microsoft YaHei"/>
                <w:b w:val="0"/>
                <w:i w:val="0"/>
                <w:color w:val="1A1A1A"/>
                <w:sz w:val="19"/>
              </w:rPr>
              <w:t>Name: [ ]</w:t>
            </w:r>
          </w:p>
          <w:p>
            <w:pPr>
              <w:spacing w:after="200"/>
            </w:pPr>
            <w:r>
              <w:rPr>
                <w:rFonts w:ascii="Arial" w:hAnsi="Arial" w:eastAsia="Microsoft YaHei"/>
                <w:b w:val="0"/>
                <w:i w:val="0"/>
                <w:color w:val="1A1A1A"/>
                <w:sz w:val="19"/>
              </w:rPr>
              <w:t>Position: [Partner / Lawyer]</w:t>
            </w:r>
          </w:p>
          <w:p>
            <w:pPr>
              <w:spacing w:after="200"/>
            </w:pPr>
            <w:r>
              <w:rPr>
                <w:rFonts w:ascii="Arial" w:hAnsi="Arial" w:eastAsia="Microsoft YaHei"/>
                <w:b w:val="0"/>
                <w:i w:val="0"/>
                <w:color w:val="1A1A1A"/>
                <w:sz w:val="19"/>
              </w:rPr>
              <w:t>Date: [ ]</w:t>
            </w:r>
          </w:p>
        </w:tc>
        <w:tc>
          <w:tcPr>
            <w:tcW w:type="dxa" w:w="4819"/>
          </w:tcPr>
          <w:p>
            <w:pPr>
              <w:spacing w:after="200"/>
            </w:pPr>
            <w:r/>
            <w:r>
              <w:rPr>
                <w:rFonts w:ascii="Arial" w:hAnsi="Arial" w:eastAsia="Microsoft YaHei"/>
                <w:b w:val="0"/>
                <w:i w:val="0"/>
                <w:color w:val="1A1A1A"/>
                <w:sz w:val="19"/>
              </w:rPr>
              <w:t>For the Client 客户</w:t>
            </w:r>
          </w:p>
          <w:p>
            <w:pPr>
              <w:spacing w:after="200"/>
            </w:pPr>
            <w:r>
              <w:rPr>
                <w:rFonts w:ascii="Arial" w:hAnsi="Arial" w:eastAsia="Microsoft YaHei"/>
                <w:b w:val="0"/>
                <w:i w:val="0"/>
                <w:color w:val="1A1A1A"/>
                <w:sz w:val="19"/>
              </w:rPr>
              <w:t>______________________________</w:t>
            </w:r>
          </w:p>
          <w:p>
            <w:pPr>
              <w:spacing w:after="200"/>
            </w:pPr>
            <w:r>
              <w:rPr>
                <w:rFonts w:ascii="Arial" w:hAnsi="Arial" w:eastAsia="Microsoft YaHei"/>
                <w:b w:val="0"/>
                <w:i w:val="0"/>
                <w:color w:val="1A1A1A"/>
                <w:sz w:val="19"/>
              </w:rPr>
              <w:t>Name: [ ]</w:t>
            </w:r>
          </w:p>
          <w:p>
            <w:pPr>
              <w:spacing w:after="200"/>
            </w:pPr>
            <w:r>
              <w:rPr>
                <w:rFonts w:ascii="Arial" w:hAnsi="Arial" w:eastAsia="Microsoft YaHei"/>
                <w:b w:val="0"/>
                <w:i w:val="0"/>
                <w:color w:val="1A1A1A"/>
                <w:sz w:val="19"/>
              </w:rPr>
              <w:t>Capacity: [Director / Individual]</w:t>
            </w:r>
          </w:p>
          <w:p>
            <w:pPr>
              <w:spacing w:after="200"/>
            </w:pPr>
            <w:r>
              <w:rPr>
                <w:rFonts w:ascii="Arial" w:hAnsi="Arial" w:eastAsia="Microsoft YaHei"/>
                <w:b w:val="0"/>
                <w:i w:val="0"/>
                <w:color w:val="1A1A1A"/>
                <w:sz w:val="19"/>
              </w:rPr>
              <w:t>Date: [ ]</w:t>
            </w:r>
          </w:p>
        </w:tc>
      </w:tr>
    </w:tbl>
    <w:p>
      <w:r>
        <w:br w:type="page"/>
      </w:r>
    </w:p>
    <w:p>
      <w:pPr>
        <w:keepNext/>
        <w:spacing w:before="0" w:after="80"/>
        <w:pBdr>
          <w:bottom w:val="single" w:sz="6" w:space="2" w:color="D8E2DA"/>
        </w:pBdr>
      </w:pPr>
      <w:r>
        <w:rPr>
          <w:rFonts w:ascii="Arial" w:hAnsi="Arial" w:eastAsia="Microsoft YaHei"/>
          <w:b/>
          <w:i w:val="0"/>
          <w:color w:val="143D29"/>
          <w:sz w:val="23"/>
        </w:rPr>
        <w:t>Schedule A — Scope and deliverables 附件 A：工作范围与交付</w:t>
      </w:r>
    </w:p>
    <w:tbl>
      <w:tblPr>
        <w:tblStyle w:val="TableGrid"/>
        <w:tblW w:w="9977" w:type="dxa"/>
        <w:jc w:val="center"/>
        <w:tblLayout w:type="fixed"/>
        <w:tblLook w:firstColumn="1" w:firstRow="1" w:lastColumn="0" w:lastRow="0" w:noHBand="0" w:noVBand="1" w:val="04A0"/>
      </w:tblPr>
      <w:tblGrid>
        <w:gridCol w:w="3175"/>
        <w:gridCol w:w="3175"/>
        <w:gridCol w:w="1814"/>
        <w:gridCol w:w="1814"/>
      </w:tblGrid>
      <w:tr>
        <w:tc>
          <w:tcPr>
            <w:tcW w:type="dxa" w:w="3175"/>
            <w:shd w:val="clear" w:color="auto" w:fill="174B2F"/>
            <w:tcMar>
              <w:top w:w="80" w:type="dxa"/>
              <w:bottom w:w="80" w:type="dxa"/>
              <w:start w:w="110" w:type="dxa"/>
              <w:end w:w="110" w:type="dxa"/>
            </w:tcMar>
          </w:tcPr>
          <w:p>
            <w:pPr>
              <w:spacing w:after="0"/>
            </w:pPr>
            <w:r>
              <w:rPr>
                <w:rFonts w:ascii="Arial" w:hAnsi="Arial" w:eastAsia="Microsoft YaHei"/>
                <w:b/>
                <w:i w:val="0"/>
                <w:color w:val="FFFFFF"/>
                <w:sz w:val="17"/>
              </w:rPr>
              <w:t>Task 工作</w:t>
            </w:r>
          </w:p>
        </w:tc>
        <w:tc>
          <w:tcPr>
            <w:tcW w:type="dxa" w:w="3175"/>
            <w:shd w:val="clear" w:color="auto" w:fill="174B2F"/>
            <w:tcMar>
              <w:top w:w="80" w:type="dxa"/>
              <w:bottom w:w="80" w:type="dxa"/>
              <w:start w:w="110" w:type="dxa"/>
              <w:end w:w="110" w:type="dxa"/>
            </w:tcMar>
          </w:tcPr>
          <w:p>
            <w:pPr>
              <w:spacing w:after="0"/>
            </w:pPr>
            <w:r>
              <w:rPr>
                <w:rFonts w:ascii="Arial" w:hAnsi="Arial" w:eastAsia="Microsoft YaHei"/>
                <w:b/>
                <w:i w:val="0"/>
                <w:color w:val="FFFFFF"/>
                <w:sz w:val="17"/>
              </w:rPr>
              <w:t>Deliverable 交付物</w:t>
            </w:r>
          </w:p>
        </w:tc>
        <w:tc>
          <w:tcPr>
            <w:tcW w:type="dxa" w:w="1814"/>
            <w:shd w:val="clear" w:color="auto" w:fill="174B2F"/>
            <w:tcMar>
              <w:top w:w="80" w:type="dxa"/>
              <w:bottom w:w="80" w:type="dxa"/>
              <w:start w:w="110" w:type="dxa"/>
              <w:end w:w="110" w:type="dxa"/>
            </w:tcMar>
          </w:tcPr>
          <w:p>
            <w:pPr>
              <w:spacing w:after="0"/>
            </w:pPr>
            <w:r>
              <w:rPr>
                <w:rFonts w:ascii="Arial" w:hAnsi="Arial" w:eastAsia="Microsoft YaHei"/>
                <w:b/>
                <w:i w:val="0"/>
                <w:color w:val="FFFFFF"/>
                <w:sz w:val="17"/>
              </w:rPr>
              <w:t>Fee 费用</w:t>
            </w:r>
          </w:p>
        </w:tc>
        <w:tc>
          <w:tcPr>
            <w:tcW w:type="dxa" w:w="1814"/>
            <w:shd w:val="clear" w:color="auto" w:fill="174B2F"/>
            <w:tcMar>
              <w:top w:w="80" w:type="dxa"/>
              <w:bottom w:w="80" w:type="dxa"/>
              <w:start w:w="110" w:type="dxa"/>
              <w:end w:w="110" w:type="dxa"/>
            </w:tcMar>
          </w:tcPr>
          <w:p>
            <w:pPr>
              <w:spacing w:after="0"/>
            </w:pPr>
            <w:r>
              <w:rPr>
                <w:rFonts w:ascii="Arial" w:hAnsi="Arial" w:eastAsia="Microsoft YaHei"/>
                <w:b/>
                <w:i w:val="0"/>
                <w:color w:val="FFFFFF"/>
                <w:sz w:val="17"/>
              </w:rPr>
              <w:t>Deadline 期限</w:t>
            </w:r>
          </w:p>
        </w:tc>
      </w:tr>
      <w:tr>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r>
      <w:tr>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r>
      <w:tr>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r>
      <w:tr>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r>
      <w:tr>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r>
      <w:tr>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r>
      <w:tr>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r>
      <w:tr>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3175"/>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c>
          <w:tcPr>
            <w:tcW w:type="dxa" w:w="1814"/>
            <w:tcMar>
              <w:top w:w="80" w:type="dxa"/>
              <w:bottom w:w="80" w:type="dxa"/>
              <w:start w:w="110" w:type="dxa"/>
              <w:end w:w="110" w:type="dxa"/>
            </w:tcMar>
          </w:tcPr>
          <w:p>
            <w:pPr>
              <w:spacing w:after="0"/>
            </w:pPr>
            <w:r>
              <w:rPr>
                <w:rFonts w:ascii="Arial" w:hAnsi="Arial" w:eastAsia="Microsoft YaHei"/>
                <w:b w:val="0"/>
                <w:i w:val="0"/>
                <w:color w:val="1A1A1A"/>
                <w:sz w:val="17"/>
              </w:rPr>
              <w:t>[ ]</w:t>
            </w:r>
          </w:p>
        </w:tc>
      </w:tr>
    </w:tbl>
    <w:p>
      <w:r>
        <w:br w:type="page"/>
      </w:r>
    </w:p>
    <w:tbl>
      <w:tblPr>
        <w:tblStyle w:val="TableGrid"/>
        <w:tblW w:type="auto" w:w="0"/>
        <w:tblLook w:firstColumn="1" w:firstRow="1" w:lastColumn="0" w:lastRow="0" w:noHBand="0" w:noVBand="1" w:val="04A0"/>
      </w:tblPr>
      <w:tblGrid>
        <w:gridCol w:w="9972"/>
      </w:tblGrid>
      <w:tr>
        <w:tc>
          <w:tcPr>
            <w:tcW w:type="dxa" w:w="9972"/>
            <w:shd w:val="clear" w:color="auto" w:fill="FFF8E7"/>
            <w:tcMar>
              <w:top w:w="120" w:type="dxa"/>
              <w:bottom w:w="120" w:type="dxa"/>
              <w:start w:w="150" w:type="dxa"/>
              <w:end w:w="150" w:type="dxa"/>
            </w:tcMar>
          </w:tcPr>
          <w:p>
            <w:pPr>
              <w:spacing w:after="40"/>
            </w:pPr>
            <w:r>
              <w:rPr>
                <w:rFonts w:ascii="Arial" w:hAnsi="Arial" w:eastAsia="Microsoft YaHei"/>
                <w:b/>
                <w:i w:val="0"/>
                <w:color w:val="9A5B12"/>
                <w:sz w:val="19"/>
              </w:rPr>
              <w:t>填写说明（中文）</w:t>
            </w:r>
          </w:p>
          <w:p>
            <w:pPr>
              <w:spacing w:after="40"/>
            </w:pPr>
            <w:r>
              <w:rPr>
                <w:rFonts w:ascii="Arial" w:hAnsi="Arial" w:eastAsia="Microsoft YaHei"/>
                <w:b w:val="0"/>
                <w:i w:val="0"/>
                <w:color w:val="1A1A1A"/>
                <w:sz w:val="17"/>
              </w:rPr>
              <w:t>• 先确认律所/律师有赞比亚执业资格（Law Association of Zambia 名录），再看有没有同类案件经验。</w:t>
            </w:r>
          </w:p>
          <w:p>
            <w:pPr>
              <w:spacing w:after="40"/>
            </w:pPr>
            <w:r>
              <w:rPr>
                <w:rFonts w:ascii="Arial" w:hAnsi="Arial" w:eastAsia="Microsoft YaHei"/>
                <w:b w:val="0"/>
                <w:i w:val="0"/>
                <w:color w:val="1A1A1A"/>
                <w:sz w:val="17"/>
              </w:rPr>
              <w:t>• 服务范围、排除事项、费用结构、预付款、代垫费用、付款期限，逐项写进委托函。</w:t>
            </w:r>
          </w:p>
          <w:p>
            <w:pPr>
              <w:spacing w:after="40"/>
            </w:pPr>
            <w:r>
              <w:rPr>
                <w:rFonts w:ascii="Arial" w:hAnsi="Arial" w:eastAsia="Microsoft YaHei"/>
                <w:b w:val="0"/>
                <w:i w:val="0"/>
                <w:color w:val="1A1A1A"/>
                <w:sz w:val="17"/>
              </w:rPr>
              <w:t>• 授权边界要写：能不能和解、最高金额、能不能签文件、能不能上诉。</w:t>
            </w:r>
          </w:p>
          <w:p>
            <w:pPr>
              <w:spacing w:after="40"/>
            </w:pPr>
            <w:r>
              <w:rPr>
                <w:rFonts w:ascii="Arial" w:hAnsi="Arial" w:eastAsia="Microsoft YaHei"/>
                <w:b w:val="0"/>
                <w:i w:val="0"/>
                <w:color w:val="1A1A1A"/>
                <w:sz w:val="17"/>
              </w:rPr>
              <w:t>• 利益冲突、保密、数据保护（DPA 2021）、文件保存年限，不能只靠口头。</w:t>
            </w:r>
          </w:p>
          <w:p>
            <w:pPr>
              <w:spacing w:after="40"/>
            </w:pPr>
            <w:r>
              <w:rPr>
                <w:rFonts w:ascii="Arial" w:hAnsi="Arial" w:eastAsia="Microsoft YaHei"/>
                <w:b w:val="0"/>
                <w:i w:val="0"/>
                <w:color w:val="1A1A1A"/>
                <w:sz w:val="17"/>
              </w:rPr>
              <w:t>• 任何“保证赢/保证拿到身份”的承诺都不可信；律师只能承诺尽职和专业判断。</w:t>
            </w:r>
          </w:p>
        </w:tc>
      </w:tr>
    </w:tbl>
    <w:sectPr w:rsidR="00FC693F" w:rsidRPr="0006063C" w:rsidSect="00034616">
      <w:headerReference w:type="default" r:id="rId9"/>
      <w:footerReference w:type="default" r:id="rId10"/>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Microsoft YaHei"/>
        <w:b w:val="0"/>
        <w:i w:val="0"/>
        <w:color w:val="555F66"/>
        <w:sz w:val="15"/>
      </w:rPr>
      <w:t>赞比亚华人社区 · www.zamchi.com · 使用前请让赞比亚执业律师审阅</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Microsoft YaHei"/>
        <w:b w:val="0"/>
        <w:i w:val="0"/>
        <w:color w:val="555F66"/>
        <w:sz w:val="15"/>
      </w:rPr>
      <w:t>ZAMCHI TEMPLATE · BLANK FORM · NOT LEGAL ADVICE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Microsoft YaHei"/>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